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20 - 21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Смутное время в России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Правление Михаила Романова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Событие Истории России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84 - 1598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89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98 - 1605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1597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604 - 1618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605 - 1606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606 - 1610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606 - 1607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607 - 1610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611 - 1612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613 - 1645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617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618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1632 - 1634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Федор Иоаннович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tl w:val="0"/>
                <w:lang w:val="ru-RU"/>
              </w:rPr>
              <w:t xml:space="preserve">Борис Годунов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tl w:val="0"/>
                <w:lang w:val="ru-RU"/>
              </w:rPr>
              <w:t xml:space="preserve">Лжедмитрий Первый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tl w:val="0"/>
                <w:lang w:val="ru-RU"/>
              </w:rPr>
              <w:t>Иов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Лжедмитрий Первый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tl w:val="0"/>
                <w:lang w:val="ru-RU"/>
              </w:rPr>
              <w:t>Иван Болотников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Василий Шуйский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Патриарх Гермоген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Скопин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Шуйский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Минин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Пожарский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Михаил Федорович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Филарет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Иван Сусанин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1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Урочные лета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Самозванство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Засечная черта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Крепостное право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1598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Нантский Эдик Генриха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IV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1618 - 1648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Тридцатилетняя война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1624 - 1642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Деятельность кардинала Ришелье на посту первого министра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640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Начало деятельности долгого парламента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начало Английской буржуазной революции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641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Принятие английским парламентом «Великой ремонстрации»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1642 - 1651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Гражданская война в Англии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45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0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«Наших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тушинских поляков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Тушинском лагере считают всего до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7000.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Москвы множество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которая того только и ожидает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мы между собой согласились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готовится обратиться на ту сторону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 которой пристанет польское войско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ибо между ними нет единомыслия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 и в самой Москве боярам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кажется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всему миру наскучило уже царствование Шуйского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Пока не ведали о нашествии короля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желали иметь государем Голицына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Находящееся же в поле московское войско нарекает на царство Скопина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Шуйский распространяет молву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воюет не для сохранения своего престола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за веру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желая тем москвичей приманить к себе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Хуже всего того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под Троицею Скопин сильнее пана Сапеги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Если же пан Сапега принуждён будет отступить от Троицы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тамошняя Москва возымеет более отваги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напротив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здешняя потеряет дух…»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Укажите век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 которому относятся описываемые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название периода русской истории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котором идёт речь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Назовите самозванца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котором говорится в тексте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03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силы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поддерживавшие самозванца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называет автор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одну любую причину этой поддержки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указанную автором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4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45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3839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««Патриарх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&lt;...&gt;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являлся исключительной фигурой среди прочих церковных иерархов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Отец царя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естественным образом принял на себя бремя «соправления» ему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особенности далеко распространялась его власть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пока царь — сын был юн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Все обращения и челобитные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подававшиеся царю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писались одновременно и на его имя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них он именовался «Великим Государем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Святейшим Патриархом»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Отъезжая из Москвы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царь препоручал своему отцу все государственные дела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вплоть до приёма иностранных послов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Распоряжения верховной власти выходили от имени обоих великих государей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обоим делались доклады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обоим представлялись иностранные послы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Великий государь Патриарх был постоянным пособником и руководителем великого государя царя во всех государственных делах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этом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деля с сыном государственную власть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Патриарх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&lt;...&gt;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ослаблял авторитета царя перед лицом бояр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напротив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способствовал его укреплению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собственно же церковных делах он был не столь сведущ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в государственных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и понятно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ведь и пострижение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&lt;...&gt;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его возвышение до Патриаршества во многом случайны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 рождению своему к подобному служению он не готовился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Младший современник Патриарха архиепископ Астраханский Пахомий вспоминал о нём так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«Сей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&lt;...&gt;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возрасту и сану был среднего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Божественные писания отчасти разумел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нравом опальчив и мнителен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владетелен таков был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яко и самому царю боятися его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Бояр же и всякого чина царского синклита зело точаше заточениями необратными и теми наказаниями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До духовного же чина милостив был и не сребролюбив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&lt;...&gt;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Патриарх Никон также был пожалован Алексеем Михайловичем титулом Великого Патриарха 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видно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мнил себя при нём своего рода «новым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&lt;...&gt;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Однако если власть последнего над царём зиждилась на его отеческом праве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Никон пользовался влиянием на царя и государственные дела лишь до тех пор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пока сохранял его дружеское расположение»»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Укажите век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с точностью до половины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котором происходили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упоминаемые в тексте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пропущенное в тексте имя патриарха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Укажите царя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чьим соправителем был данный патриарх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03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причины привели к тому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патриарх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имя которого пропущено в тексте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играл столь значительную роль в жизни Российского государства в описываемый период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любые три причины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названы в тексте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43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1598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Земским собором был избран на царство Борис Годунов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Новый царь зарекомендовал себя как талантливый государственный деятель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задумал целый ряд реформ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призванных обеспечить развитие России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1601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из России в Польшу бежал монах Чудова монастыря Григорий Отрепьев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объявил себя чудесно спасшимся царевичем Дмитрием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Осенью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1604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вторгся в пределы России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имея всего около четырёх тысяч человек казаков и поляков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1605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занял российский престол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Однако через год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1606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Лжедмитрий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I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был убит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Почему же самозванцу Лжедмитрию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I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удалось столь легко склонить на свою сторону широкие слои населения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Чем можно объяснить его успех в борьбе за власть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не менее трёх причин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Назовите не менее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трех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причин избрания Михаила Романова на российский престол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45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624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во Франции Кардинал Ришелье становится первым министром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то же самое время в России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патриарх Филарет становится фактическим соправителем Михаила Романова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Используя исторические знания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аргументы в подтверждение точки зрения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оба указанных события повлияли на дальнейшую внутреннюю политику правительств в странах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где они произошли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один аргумент для России и один 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Франции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изложении аргументов обязательно используйте исторические факты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Франции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rtl w:val="0"/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