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2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6 - 29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Петр Первый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Дворцовые перевороты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Событие Истории России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1700 - 1721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1700 (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сражение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16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мая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1703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1705 - 1706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1707 - 1708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1708 - 1710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 xml:space="preserve">Учреждение губрений 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Сент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1708 (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сражение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27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июня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1709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1711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1714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27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июля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1714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1718 - 1721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Учреждение коллегий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1720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1718 - 1724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 xml:space="preserve">Перепись населения 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1720 (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сражение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1721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1722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1722 - 1723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1725 (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культура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1725 - 1727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1727 - 1730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1730 - 1740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1735 - 1739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1741 - 1761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1755 (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культура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)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1756 - 1763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1761 - 1762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1762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50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Петр Первый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Лефорт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Меншиков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Гордон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Головин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Шереметев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Апраксин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Брюс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Шапиров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Мазепа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Демидов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Стефан Яворский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Э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Бирон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Остерман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Миних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Волынский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Шувалов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Шувалов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Феофан Прокопович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2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Понятие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Раскройте смысл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один исторический факт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Моедренизация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Реформа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Меркантилизм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Гвардия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Империя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Сенат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Коллегии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Синод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Губерния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Крепостная мануфактура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Рекрутские наборы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Фискал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Прокурор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Ревизия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Прибыльщик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Ассамблея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Табель о рангах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Ратуша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Дворцовый переворот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Верховный тайный совет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Кондиции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Бироновщина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31"/>
        <w:gridCol w:w="5043"/>
        <w:gridCol w:w="7698"/>
      </w:tblGrid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Дата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Событие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9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1715 - 1774 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Людовика   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XV 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во Франции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24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43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139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«…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Всем не</w:t>
              <w:softHyphen/>
              <w:t>дви</w:t>
              <w:softHyphen/>
              <w:t>жи</w:t>
              <w:softHyphen/>
              <w:t>мых вещей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то есть родовых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вы</w:t>
              <w:softHyphen/>
              <w:t>слу</w:t>
              <w:softHyphen/>
              <w:t>жен</w:t>
              <w:softHyphen/>
              <w:t>ных и куп</w:t>
              <w:softHyphen/>
              <w:t>лен</w:t>
              <w:softHyphen/>
              <w:t>ных вотчин и поместий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также дво</w:t>
              <w:softHyphen/>
              <w:t>ров и лавок не про</w:t>
              <w:softHyphen/>
              <w:t>да</w:t>
              <w:softHyphen/>
              <w:t>вать и не закладывать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 об</w:t>
              <w:softHyphen/>
              <w:t>ра</w:t>
              <w:softHyphen/>
              <w:t>щать</w:t>
              <w:softHyphen/>
              <w:t>ся оным в род таким образом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2.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Кто имеет сы</w:t>
              <w:softHyphen/>
              <w:t>но</w:t>
              <w:softHyphen/>
              <w:t>вей и ему же ещё хочет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еди</w:t>
              <w:softHyphen/>
              <w:t>но</w:t>
              <w:softHyphen/>
              <w:t>му из оных дать недвижимое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чрез духовную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тому в на</w:t>
              <w:softHyphen/>
              <w:t>сле</w:t>
              <w:softHyphen/>
              <w:t>дии и будет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Дру</w:t>
              <w:softHyphen/>
              <w:t>гие же дети обо</w:t>
              <w:softHyphen/>
              <w:t>е</w:t>
              <w:softHyphen/>
              <w:t>го полу да на</w:t>
              <w:softHyphen/>
              <w:t>граж</w:t>
              <w:softHyphen/>
              <w:t>де</w:t>
              <w:softHyphen/>
              <w:t>ны будут дви</w:t>
              <w:softHyphen/>
              <w:t>жи</w:t>
              <w:softHyphen/>
              <w:t>мы</w:t>
              <w:softHyphen/>
              <w:t>ми имениями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</w:t>
              <w:softHyphen/>
              <w:t>то</w:t>
              <w:softHyphen/>
              <w:t>рые должен отец их или мать раз</w:t>
              <w:softHyphen/>
              <w:t>де</w:t>
              <w:softHyphen/>
              <w:t>лить им при себе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 сыновьям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так и дочерям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</w:t>
              <w:softHyphen/>
              <w:t>ли</w:t>
              <w:softHyphen/>
              <w:t>ко их будет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 своей воле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кроме одного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</w:t>
              <w:softHyphen/>
              <w:t>то</w:t>
              <w:softHyphen/>
              <w:t>рый в не</w:t>
              <w:softHyphen/>
              <w:t>дви</w:t>
              <w:softHyphen/>
              <w:t>жи</w:t>
              <w:softHyphen/>
              <w:t>мых наследниках будет… То же ра</w:t>
              <w:softHyphen/>
              <w:t>зу</w:t>
              <w:softHyphen/>
              <w:t>ме</w:t>
              <w:softHyphen/>
              <w:t>ет</w:t>
              <w:softHyphen/>
              <w:t>ся и о дочерях»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..</w:t>
            </w:r>
          </w:p>
        </w:tc>
      </w:tr>
      <w:tr>
        <w:tblPrEx>
          <w:shd w:val="clear" w:color="auto" w:fill="cadfff"/>
        </w:tblPrEx>
        <w:trPr>
          <w:trHeight w:val="746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е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имя монарха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правление которого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был издан данный указ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название указа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каком году он был издан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13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Назовите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два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положения данного указа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 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45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459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103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>«…дед наш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Пётр Великий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  <w:lang w:val="ru-RU"/>
              </w:rPr>
              <w:t>в тогдашнее ж время российскому дворянству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  <w:lang w:val="ru-RU"/>
              </w:rPr>
              <w:t xml:space="preserve">повелел вступить в военные и гражданские службы 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  <w:lang w:val="ru-RU"/>
              </w:rPr>
              <w:t>Правда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что таковые учреждения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хотя и в начале казались тягостными и несносными для дворянства</w:t>
            </w:r>
            <w:r>
              <w:rPr>
                <w:rtl w:val="0"/>
              </w:rPr>
              <w:t>... (</w:t>
            </w:r>
            <w:r>
              <w:rPr>
                <w:rtl w:val="0"/>
              </w:rPr>
              <w:t>но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  <w:lang w:val="ru-RU"/>
              </w:rPr>
              <w:t>последовали от того неисчётные пользы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переменилось невежество в здравый рассудок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полезное знание и прилежность к службе умножило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  <w:lang w:val="ru-RU"/>
              </w:rPr>
              <w:t>усердие и отменную в службе нашей ревность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а потому и не находим мы той необходимости в принуждении к службе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какая до сего времени потребна была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  <w:lang w:val="ru-RU"/>
              </w:rPr>
              <w:t>И тако мы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  <w:lang w:val="ru-RU"/>
              </w:rPr>
              <w:t>отныне впредь на вечные времена и в потомственные роды жалуем всему российскому благородному дворянству</w:t>
            </w:r>
            <w:r>
              <w:rPr>
                <w:rtl w:val="0"/>
                <w:lang w:val="pt-PT"/>
              </w:rPr>
              <w:t xml:space="preserve">... l.Bce </w:t>
            </w:r>
            <w:r>
              <w:rPr>
                <w:rtl w:val="0"/>
                <w:lang w:val="ru-RU"/>
              </w:rPr>
              <w:t>находящиеся в разных наших службах дворяне могут оную продолжать сколь долго пожелают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и их состояние им позволит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однако ж военные ни во время компании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ниже пред начатием оной за три месяца об увольнении из службы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</w:rPr>
              <w:t>просить да не дерзают</w:t>
            </w:r>
            <w:r>
              <w:rPr>
                <w:rtl w:val="0"/>
              </w:rPr>
              <w:t>...</w:t>
            </w:r>
          </w:p>
          <w:p>
            <w:pPr>
              <w:pStyle w:val="Основной текст"/>
              <w:bidi w:val="0"/>
              <w:rPr>
                <w:shd w:val="clear" w:color="auto" w:fill="ffffff"/>
              </w:rPr>
            </w:pPr>
          </w:p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 xml:space="preserve">6. </w:t>
            </w:r>
            <w:r>
              <w:rPr>
                <w:rtl w:val="0"/>
                <w:lang w:val="ru-RU"/>
              </w:rPr>
              <w:t>А как по сему нашему всемилостивейшему установлению никто уже из дворян российских неволею службу продолжать не будет</w:t>
            </w:r>
            <w:r>
              <w:rPr>
                <w:rtl w:val="0"/>
              </w:rPr>
              <w:t>, ...</w:t>
            </w:r>
            <w:r>
              <w:rPr>
                <w:rtl w:val="0"/>
                <w:lang w:val="ru-RU"/>
              </w:rPr>
              <w:t>разве особливая надобность потребует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но то не иначе как за подписанием нашей собственной руки именным указом поведено будет</w:t>
            </w:r>
            <w:r>
              <w:rPr>
                <w:rtl w:val="0"/>
              </w:rPr>
              <w:t>...</w:t>
            </w:r>
          </w:p>
          <w:p>
            <w:pPr>
              <w:pStyle w:val="Основной текст"/>
              <w:bidi w:val="0"/>
              <w:rPr>
                <w:shd w:val="clear" w:color="auto" w:fill="ffffff"/>
              </w:rPr>
            </w:pPr>
          </w:p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>7. ...</w:t>
            </w:r>
            <w:r>
              <w:rPr>
                <w:rtl w:val="0"/>
                <w:lang w:val="ru-RU"/>
              </w:rPr>
              <w:t>о малолетних их детях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 xml:space="preserve">коих отныне повелеваем для единственного только сведения объявлять в </w:t>
            </w:r>
            <w:r>
              <w:rPr>
                <w:rtl w:val="0"/>
              </w:rPr>
              <w:t xml:space="preserve">12 </w:t>
            </w:r>
            <w:r>
              <w:rPr>
                <w:rtl w:val="0"/>
                <w:lang w:val="ru-RU"/>
              </w:rPr>
              <w:t>лет от рождения их в герольдии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губерниях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провинциях и городах</w:t>
            </w:r>
            <w:r>
              <w:rPr>
                <w:rtl w:val="0"/>
              </w:rPr>
              <w:t>, ...</w:t>
            </w:r>
            <w:r>
              <w:rPr>
                <w:rtl w:val="0"/>
                <w:lang w:val="ru-RU"/>
              </w:rPr>
              <w:t>причём от родителей или от сродников их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у кого оные в смотрении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брать известия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чему они до двенадцатилетнего возраста обучены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и где далее науки продолжать желают</w:t>
            </w:r>
            <w:r>
              <w:rPr>
                <w:rtl w:val="0"/>
              </w:rPr>
              <w:t>, ...</w:t>
            </w:r>
            <w:r>
              <w:rPr>
                <w:rtl w:val="0"/>
                <w:lang w:val="ru-RU"/>
              </w:rPr>
              <w:t>однако ж чтоб никто не дерзал без обучения пристойных благородному дворянству наук детей своих воспитывать под тяжким нашим гневом</w:t>
            </w:r>
            <w:r>
              <w:rPr>
                <w:rtl w:val="0"/>
              </w:rPr>
              <w:t>...</w:t>
            </w:r>
          </w:p>
          <w:p>
            <w:pPr>
              <w:pStyle w:val="Основной текст"/>
              <w:bidi w:val="0"/>
              <w:rPr>
                <w:shd w:val="clear" w:color="auto" w:fill="ffffff"/>
              </w:rPr>
            </w:pP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 xml:space="preserve">8. </w:t>
            </w:r>
            <w:r>
              <w:rPr>
                <w:rtl w:val="0"/>
                <w:lang w:val="ru-RU"/>
              </w:rPr>
              <w:t>Находящихся же ныне в нашей военной службе дворян в солдатах и прочих нижних чинах менее обер</w:t>
            </w:r>
            <w:r>
              <w:rPr>
                <w:rtl w:val="0"/>
              </w:rPr>
              <w:t>-</w:t>
            </w:r>
            <w:r>
              <w:rPr>
                <w:rtl w:val="0"/>
                <w:lang w:val="ru-RU"/>
              </w:rPr>
              <w:t>офицера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кои не дослужились офицерства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не отставлять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 xml:space="preserve">разве кто более </w:t>
            </w:r>
            <w:r>
              <w:rPr>
                <w:rtl w:val="0"/>
              </w:rPr>
              <w:t xml:space="preserve">12 </w:t>
            </w:r>
            <w:r>
              <w:rPr>
                <w:rtl w:val="0"/>
                <w:lang w:val="ru-RU"/>
              </w:rPr>
              <w:t>лет военную службу продолжал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  <w:lang w:val="ru-RU"/>
              </w:rPr>
              <w:t>то таковые получат увольнения от службы»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46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е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имя монарха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правление которого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был издан данный указ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название указа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каком году он был издан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 (2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13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13.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Используя текст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укажите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чём заключалось основное право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предоставленное русскому дворянству этим законодательным актом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Какие ограничения вводились для дворян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соответствии с документом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4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144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Первая четверть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XVIII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России была ознаменована проведением широкомасштабных преобразований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Объясните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чем была вызвана необходимость проведения петровских преобразований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Укажите три причины проведения данных реформ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не менее трёх причин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762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в России закончилась эпоха дворцовых переворотов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три последствия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которые оказал данный период на развитие истории России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72"/>
      </w:tblGrid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1762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Петр третий освободил дворян от обязательной службы в армии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однако в этом же году против него созрел заговор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три причины заговора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сложившегося вокруг Петра Третьего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rtl w:val="0"/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