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41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43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 47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Правление Александра Первого</w:t>
      </w: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Дата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1811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Учреждение Царскосельского лицея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1824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Открытие малого театр в Москве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1825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Открытие большого театра в Москве 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1826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Открытие невклидовой геометрии Лобачевского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1862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Учреждение Санкт</w:t>
            </w: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Петербургской консерватории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1866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Учреждение московской консерватории 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1869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Открытие периодической закона химических элементов Д</w:t>
            </w: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Менделеевым 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1870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Возникновение «Товарищества художественных передвижных выставок» 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1892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 xml:space="preserve">Создание Третьяковской галереи 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1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Уваров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Я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Чаадаев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Хомяков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Аксаков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Киреевский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Я</w:t>
            </w:r>
            <w:r>
              <w:rPr>
                <w:rFonts w:ascii="Helvetica Neue" w:hAnsi="Helvetica Neue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Данилевский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Герцен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Лавров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Ткачев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Бакунин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Перовская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Засулич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Бисерин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Кавелин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Леонтьев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Плеханов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Державин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Жуковский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Крылов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Боротынский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Пушкин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Ю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Лермонтов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Салтыков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Щедрин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Толстой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Достоевский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Чернышевский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Некрасов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Тютчев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Фет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Чехов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Бунин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Крамской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Кипренский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Тропинин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Перов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Е Репин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Васнецов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Серов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Глинка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Даргомыжский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Мусоргский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Чайковский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Рубинштейн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Римский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Корсаков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Шаляпин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Карамзин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Лобачевский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Менделеев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Зинин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Яблочков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Попов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Лодыгин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Пирогов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Мечников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Павлов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Лебедев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Сеченов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Тимирязев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Ковалевский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Грановский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Погодин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Соловьев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Ключевский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Шахматов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Павлов 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-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Сильванский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Л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Карсавин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 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Третьяковы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 В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Рябушинские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Мамонтов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Династия промышленников Морозовых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Щукин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Бахрушин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Крузенштерн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Белингаузен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Ф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Лисянский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Лазарев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И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Невельской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Helvetica Neue" w:hAnsi="Helvetica Neue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Пржевальский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3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Славянофильство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sz w:val="20"/>
                <w:szCs w:val="2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Западничество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Теория официальной народности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Народничество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Нигилизм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Либерализм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Консерватизм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Социализм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Анархизм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Конституционализм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Национализм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Нация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Радикализм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Марскизм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Парламентаризм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Классицизм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Ампир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Романтизм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spacing w:before="0" w:line="240" w:lineRule="auto"/>
              <w:jc w:val="left"/>
            </w:pPr>
            <w:r>
              <w:rPr>
                <w:rFonts w:ascii="Helvetica Neue" w:hAnsi="Helvetica Neue" w:hint="default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Символизм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43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4674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«Известно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что с начала царствования Николая </w:t>
            </w:r>
            <w:r>
              <w:rPr>
                <w:rtl w:val="0"/>
                <w:lang w:val="en-US"/>
              </w:rPr>
              <w:t xml:space="preserve">I </w:t>
            </w:r>
            <w:r>
              <w:rPr>
                <w:rtl w:val="0"/>
              </w:rPr>
              <w:t>так называемая реакция против переворота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произведенного Петром Великим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внезапно обнаружилась со всею полнотою и решительностью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Русская история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— говорили русские новые мыслители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— не только заслуживает внимания народов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но она ещё есть для них единственная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Жизнь всех остальных народов померкнет и превратится в ничто сравнительно с жизнью русского народа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если внимательно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разумно и любовно её постигнуть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С самого первого происхождения Руси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даже до него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 славянском племени лежали зародыши таких великих и благих начал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 которые никогда и не снилось народам Запада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постоянно целями и соображениями земными с путей добра и правды совращаемые и ввергаемые в пути порока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преступления или нечестия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Европа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иного себе спасения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кроме России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не имеет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bidi w:val="0"/>
              <w:rPr>
                <w:sz w:val="30"/>
                <w:szCs w:val="30"/>
              </w:rPr>
            </w:pPr>
            <w:r>
              <w:rPr>
                <w:rtl w:val="0"/>
              </w:rPr>
              <w:t>Но сама Россия в продолжение своего исторического существования не избегнула страшного нравственного несчастия</w:t>
            </w:r>
            <w:r>
              <w:rPr>
                <w:rtl w:val="0"/>
              </w:rPr>
              <w:t>, ...</w:t>
            </w:r>
            <w:r>
              <w:rPr>
                <w:rtl w:val="0"/>
              </w:rPr>
              <w:t>чуть её не низведшего до бедственного уровня Европы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Это страшное бедствие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этот неизмеримый удар был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как известно всякому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реформа Петра Великого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того государя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которого в непонятном ослеплении и в заблуждении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не чуждом преступления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столько продолжительное время считали великим преобразователем России и самым славным и полезным из русских властителей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но который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на самом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то деле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ничем иным не был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как злым гением русской земли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первоначальным изменником родным началам и родным верованиям</w:t>
            </w:r>
            <w:r>
              <w:rPr>
                <w:rtl w:val="0"/>
              </w:rPr>
              <w:t>...</w:t>
            </w:r>
          </w:p>
          <w:p>
            <w:pPr>
              <w:pStyle w:val="Основной текст"/>
              <w:bidi w:val="0"/>
            </w:pPr>
            <w:r>
              <w:rPr>
                <w:rtl w:val="0"/>
              </w:rPr>
              <w:t>Как ни страшен был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однако же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удар и как ни велико извращение народной личности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отчаянного в положении России ничего нет</w:t>
            </w:r>
            <w:r>
              <w:rPr>
                <w:rtl w:val="0"/>
              </w:rPr>
              <w:t xml:space="preserve">... </w:t>
            </w:r>
            <w:r>
              <w:rPr>
                <w:rtl w:val="0"/>
              </w:rPr>
              <w:t>Чтобы всё пришло опять в прежнее положение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после которого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впрочем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и желать больше будет нечего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стоит только возвратиться к родным началам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 состоянию допетровскому»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48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12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течение общественной мысли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охарактеризованное автором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хронологические рамки царствования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 которым он связывает его возникновение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Назовите одного из представителей данного течения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23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Какие идеи характеризует автор воспоминаний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не менее двух идей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24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243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4674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«Отец запутался в долгах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Это была не его вина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расплачивался за общее положение помещичьего хозяйства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Только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25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лет прошло со времени освобождения крестьян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Четверть века — короткий срок для такого резкого экономического перелома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переход от бесплатного рабского труда к платным рабочим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Сколько раз отцовские земли висели на волоске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сколько раз то банк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 частные кредиторы грозили продать всё с молотка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Тульский земельный банк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где были заложены его имения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брал большие проценты и неумолимо требовал платежей в срок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Дворянский банк открылся позже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Это было дело внутренней политики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Правительство решило сохранить дворянский правящий класс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помочь ему удержать за собой земли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стремительно переходившие в купеческие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отчасти и в крестьянские руки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Мой отец первый в Новгородской губернии получил ссуду из новорожденного Дворянского банка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...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Крупные доходы за сено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 лес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иногда за рожь и овёс уходили на банковские платежи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Потом по случаю какого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нибудь события в царской семье издавался манифест с разными милостями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дворянские недоимки перечислялись в основной долг»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848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12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называлась и в каком году была проведена реформа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упоминаемая в источнике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Назовите две основные формы эксплуатации крестьян помещиками в период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 котором идёт речь в отрывке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имя государственного деятеля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который считается автором данной реформы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23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 автор воспоминаний объясняет причины трудностей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испытываемых помещиками в ведении хозяйства в описываемое время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не менее трёх причин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142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65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 второй трети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века и на всем его протяжении происходили значительные изменения в социально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экономической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политической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общественной жизни России и европейских стран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Используя исторические знания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аргументы в пользу того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российские и европейские художники  отражали в свои произведениях изменения в общественной жизни в указанный период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Один аргумент ля России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другой для Европы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изложении аргументов обязательно используйте исторические факты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Для России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Европы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432" w:right="0" w:hanging="432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5"/>
        <w:gridCol w:w="7287"/>
      </w:tblGrid>
      <w:tr>
        <w:tblPrEx>
          <w:shd w:val="clear" w:color="auto" w:fill="cadfff"/>
        </w:tblPrEx>
        <w:trPr>
          <w:trHeight w:val="1265" w:hRule="atLeast"/>
        </w:trPr>
        <w:tc>
          <w:tcPr>
            <w:tcW w:type="dxa" w:w="1457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 второй трети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19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века и на всем его протяжении происходили значительные изменения в социально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экономической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политической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общественной жизни России и европейских стран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Используя исторические знания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аргументы в пользу того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российские и европейские писатели  отражали в свои произведениях изменения в общественной жизни в указанный период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Один аргумент ля России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другой для Европы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изложении аргументов обязательно используйте исторические факты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Для России</w:t>
            </w:r>
          </w:p>
        </w:tc>
        <w:tc>
          <w:tcPr>
            <w:tcW w:type="dxa" w:w="7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Европы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7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540" w:right="0" w:hanging="540"/>
        <w:jc w:val="left"/>
        <w:rPr>
          <w:rtl w:val="0"/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